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3AE4926A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2D681F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E23345">
        <w:rPr>
          <w:rFonts w:ascii="Arial" w:hAnsi="Arial" w:cs="Arial"/>
          <w:b/>
          <w:sz w:val="24"/>
          <w:szCs w:val="24"/>
        </w:rPr>
        <w:t>1</w:t>
      </w:r>
      <w:r w:rsidR="002D681F">
        <w:rPr>
          <w:rFonts w:ascii="Arial" w:hAnsi="Arial" w:cs="Arial"/>
          <w:b/>
          <w:sz w:val="24"/>
          <w:szCs w:val="24"/>
        </w:rPr>
        <w:t>303</w:t>
      </w:r>
      <w:r w:rsidR="00CF1AEE">
        <w:rPr>
          <w:rFonts w:ascii="Arial" w:hAnsi="Arial" w:cs="Arial"/>
          <w:b/>
          <w:sz w:val="24"/>
          <w:szCs w:val="24"/>
        </w:rPr>
        <w:t>6</w:t>
      </w:r>
    </w:p>
    <w:p w14:paraId="7B06AEC4" w14:textId="15D16061" w:rsidR="007F637A" w:rsidRDefault="002D681F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16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57CE60E5" w:rsidR="007F637A" w:rsidRPr="00FD021C" w:rsidRDefault="002D681F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E23345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6DA0B3DB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6.1.</w:t>
      </w:r>
      <w:r w:rsidR="002C4161">
        <w:rPr>
          <w:sz w:val="22"/>
          <w:szCs w:val="22"/>
          <w:lang w:val="sv-FI"/>
        </w:rPr>
        <w:t>5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4C2B4FAB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2D681F">
        <w:rPr>
          <w:sz w:val="22"/>
          <w:szCs w:val="22"/>
        </w:rPr>
        <w:t>Discussion on collision of phy</w:t>
      </w:r>
      <w:r w:rsidR="002C4161">
        <w:rPr>
          <w:sz w:val="22"/>
          <w:szCs w:val="22"/>
        </w:rPr>
        <w:t>sical SR</w:t>
      </w:r>
      <w:r w:rsidR="002D681F">
        <w:rPr>
          <w:sz w:val="22"/>
          <w:szCs w:val="22"/>
        </w:rPr>
        <w:t xml:space="preserve"> without HARQ-ACK and NPDSCH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6F4EC2B8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09D3F8" w14:textId="6BCBB351" w:rsidR="00E23345" w:rsidRDefault="00E23345" w:rsidP="000F360A">
      <w:pPr>
        <w:pStyle w:val="BodyText"/>
      </w:pPr>
      <w:r>
        <w:t>In this contribution, w</w:t>
      </w:r>
      <w:r w:rsidRPr="00E23345">
        <w:rPr>
          <w:rFonts w:hint="eastAsia"/>
        </w:rPr>
        <w:t xml:space="preserve">e discuss the </w:t>
      </w:r>
      <w:r w:rsidR="002D681F">
        <w:t xml:space="preserve">remaining </w:t>
      </w:r>
      <w:r w:rsidRPr="00E23345">
        <w:rPr>
          <w:rFonts w:hint="eastAsia"/>
        </w:rPr>
        <w:t xml:space="preserve">issues </w:t>
      </w:r>
      <w:r w:rsidRPr="00E23345">
        <w:t xml:space="preserve">on </w:t>
      </w:r>
      <w:r w:rsidR="002D681F">
        <w:t xml:space="preserve">collision of physical SR without HARQ-ACK and NPDSCH under </w:t>
      </w:r>
      <w:r>
        <w:t xml:space="preserve">the Rel-15 maintenance agenda item for </w:t>
      </w:r>
      <w:proofErr w:type="spellStart"/>
      <w:r w:rsidR="002D681F">
        <w:t>feNB</w:t>
      </w:r>
      <w:proofErr w:type="spellEnd"/>
      <w:r w:rsidR="002D681F">
        <w:t>-IoT</w:t>
      </w:r>
      <w:r>
        <w:t>.</w:t>
      </w:r>
    </w:p>
    <w:p w14:paraId="2DFA4EB0" w14:textId="00AB0E4F" w:rsidR="008A2855" w:rsidRDefault="008A2855" w:rsidP="008A2855">
      <w:pPr>
        <w:pStyle w:val="Heading1"/>
      </w:pPr>
      <w:r>
        <w:t>2</w:t>
      </w:r>
      <w:r>
        <w:tab/>
      </w:r>
      <w:r w:rsidR="002D681F">
        <w:t>Discussion</w:t>
      </w:r>
    </w:p>
    <w:p w14:paraId="3C027206" w14:textId="31163E01" w:rsidR="00CF1AEE" w:rsidRDefault="00CF1AEE" w:rsidP="008A2855">
      <w:pPr>
        <w:pStyle w:val="BodyText"/>
      </w:pPr>
      <w:r>
        <w:t>In RAN1#94, the following TP on collision of physical SR without HARQ-ACK and NPDSCH</w:t>
      </w:r>
      <w:r>
        <w:rPr>
          <w:rFonts w:hint="eastAsia"/>
        </w:rPr>
        <w:t xml:space="preserve"> was agreed</w:t>
      </w:r>
      <w:r>
        <w:t xml:space="preserve"> [1]</w:t>
      </w:r>
      <w:r>
        <w:rPr>
          <w:rFonts w:hint="eastAsia"/>
        </w:rPr>
        <w:t>.</w:t>
      </w:r>
    </w:p>
    <w:p w14:paraId="5032FCBB" w14:textId="77777777" w:rsidR="00FB7F12" w:rsidRDefault="00FB7F12" w:rsidP="00FB7F12">
      <w:pPr>
        <w:rPr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14:paraId="2AE39496" w14:textId="77777777" w:rsidR="00FB7F12" w:rsidRPr="00FB7F12" w:rsidRDefault="00FB7F12" w:rsidP="00FB7F12">
      <w:pPr>
        <w:rPr>
          <w:b/>
        </w:rPr>
      </w:pPr>
      <w:r w:rsidRPr="00FB7F12">
        <w:rPr>
          <w:rFonts w:ascii="Arial" w:hAnsi="Arial"/>
          <w:sz w:val="22"/>
        </w:rPr>
        <w:t>16.5.3</w:t>
      </w:r>
      <w:r w:rsidRPr="00FB7F12">
        <w:rPr>
          <w:rFonts w:ascii="Arial" w:hAnsi="Arial"/>
          <w:sz w:val="22"/>
        </w:rPr>
        <w:tab/>
        <w:t>UE</w:t>
      </w:r>
      <w:r w:rsidRPr="00FB7F12">
        <w:rPr>
          <w:rFonts w:ascii="Arial" w:hAnsi="Arial" w:hint="eastAsia"/>
          <w:sz w:val="22"/>
        </w:rPr>
        <w:t xml:space="preserve"> procedure</w:t>
      </w:r>
      <w:r w:rsidRPr="00FB7F12">
        <w:rPr>
          <w:rFonts w:ascii="Arial" w:hAnsi="Arial"/>
          <w:sz w:val="22"/>
        </w:rPr>
        <w:t xml:space="preserve"> for transmitting SR </w:t>
      </w:r>
    </w:p>
    <w:p w14:paraId="77C7FE8E" w14:textId="77777777" w:rsidR="00FB7F12" w:rsidRPr="008323AA" w:rsidRDefault="00FB7F12" w:rsidP="00FB7F12">
      <w:pPr>
        <w:rPr>
          <w:rFonts w:eastAsia="Times New Roman"/>
        </w:rPr>
      </w:pPr>
      <w:r w:rsidRPr="008323AA">
        <w:rPr>
          <w:rFonts w:eastAsia="Times New Roman"/>
        </w:rPr>
        <w:t xml:space="preserve">If the UE is configured with higher layer parameter </w:t>
      </w:r>
      <w:proofErr w:type="spellStart"/>
      <w:r w:rsidRPr="008323AA">
        <w:rPr>
          <w:rFonts w:eastAsia="Times New Roman"/>
          <w:i/>
        </w:rPr>
        <w:t>sr</w:t>
      </w:r>
      <w:proofErr w:type="spellEnd"/>
      <w:r w:rsidRPr="008323AA">
        <w:rPr>
          <w:rFonts w:eastAsia="Times New Roman"/>
          <w:i/>
        </w:rPr>
        <w:t>-without-HARQ-ACK-Config</w:t>
      </w:r>
      <w:r w:rsidRPr="008323AA">
        <w:rPr>
          <w:rFonts w:eastAsia="Times New Roman"/>
        </w:rPr>
        <w:t xml:space="preserve">, the UE is configured with Narrowband </w:t>
      </w:r>
      <w:proofErr w:type="gramStart"/>
      <w:r w:rsidRPr="008323AA">
        <w:rPr>
          <w:rFonts w:eastAsia="Times New Roman"/>
        </w:rPr>
        <w:t>Random access</w:t>
      </w:r>
      <w:proofErr w:type="gramEnd"/>
      <w:r w:rsidRPr="008323AA">
        <w:rPr>
          <w:rFonts w:eastAsia="Times New Roman"/>
        </w:rPr>
        <w:t xml:space="preserve"> channel parameters (NPRACH configuration) for SR transmission by higher layers. </w:t>
      </w:r>
    </w:p>
    <w:p w14:paraId="4E7D730A" w14:textId="77777777" w:rsidR="00FB7F12" w:rsidRDefault="00FB7F12" w:rsidP="00FB7F12">
      <w:pPr>
        <w:rPr>
          <w:rFonts w:eastAsia="Times New Roman"/>
          <w:lang w:eastAsia="en-GB"/>
        </w:rPr>
      </w:pPr>
      <w:r w:rsidRPr="00CC51ED">
        <w:rPr>
          <w:rFonts w:eastAsia="Times New Roman"/>
          <w:lang w:eastAsia="en-GB"/>
        </w:rPr>
        <w:t xml:space="preserve">The </w:t>
      </w:r>
      <w:r w:rsidRPr="00CC51ED">
        <w:rPr>
          <w:rFonts w:eastAsia="MS Mincho" w:hint="eastAsia"/>
          <w:lang w:eastAsia="en-GB"/>
        </w:rPr>
        <w:t>UE shall</w:t>
      </w:r>
      <w:r w:rsidRPr="00CC51ED">
        <w:rPr>
          <w:rFonts w:eastAsia="Times New Roman" w:hint="eastAsia"/>
          <w:lang w:eastAsia="en-GB"/>
        </w:rPr>
        <w:t>,</w:t>
      </w:r>
      <w:r w:rsidRPr="00CC51ED">
        <w:rPr>
          <w:rFonts w:eastAsia="MS Mincho" w:hint="eastAsia"/>
          <w:lang w:eastAsia="en-GB"/>
        </w:rPr>
        <w:t xml:space="preserve"> </w:t>
      </w:r>
      <w:r w:rsidRPr="00CC51ED">
        <w:rPr>
          <w:rFonts w:eastAsia="Times New Roman" w:hint="eastAsia"/>
          <w:lang w:eastAsia="en-GB"/>
        </w:rPr>
        <w:t>if requested by higher layers</w:t>
      </w:r>
      <w:r w:rsidRPr="00CC51ED">
        <w:rPr>
          <w:rFonts w:eastAsia="Times New Roman"/>
          <w:lang w:eastAsia="en-GB"/>
        </w:rPr>
        <w:t xml:space="preserve"> for transmitting SR</w:t>
      </w:r>
      <w:r w:rsidRPr="00CC51ED">
        <w:rPr>
          <w:rFonts w:eastAsia="Times New Roman" w:hint="eastAsia"/>
          <w:lang w:eastAsia="en-GB"/>
        </w:rPr>
        <w:t>,</w:t>
      </w:r>
      <w:r w:rsidRPr="00CC51ED">
        <w:rPr>
          <w:rFonts w:eastAsia="MS Mincho" w:hint="eastAsia"/>
          <w:lang w:eastAsia="en-GB"/>
        </w:rPr>
        <w:t xml:space="preserve"> </w:t>
      </w:r>
      <w:r w:rsidRPr="00CC51ED">
        <w:rPr>
          <w:rFonts w:eastAsia="MS Mincho"/>
          <w:lang w:eastAsia="en-GB"/>
        </w:rPr>
        <w:t xml:space="preserve">start </w:t>
      </w:r>
      <w:r w:rsidRPr="00CC51ED">
        <w:rPr>
          <w:rFonts w:eastAsia="Times New Roman" w:hint="eastAsia"/>
          <w:lang w:eastAsia="en-GB"/>
        </w:rPr>
        <w:t>transmi</w:t>
      </w:r>
      <w:r w:rsidRPr="00CC51ED">
        <w:rPr>
          <w:rFonts w:eastAsia="Times New Roman"/>
          <w:lang w:eastAsia="en-GB"/>
        </w:rPr>
        <w:t>ssion</w:t>
      </w:r>
      <w:r w:rsidRPr="00CC51ED">
        <w:rPr>
          <w:rFonts w:eastAsia="Times New Roman" w:hint="eastAsia"/>
          <w:lang w:eastAsia="en-GB"/>
        </w:rPr>
        <w:t xml:space="preserve"> </w:t>
      </w:r>
      <w:r w:rsidRPr="00CC51ED">
        <w:rPr>
          <w:rFonts w:eastAsia="Times New Roman"/>
          <w:lang w:eastAsia="en-GB"/>
        </w:rPr>
        <w:t xml:space="preserve">of a narrowband </w:t>
      </w:r>
      <w:proofErr w:type="gramStart"/>
      <w:r w:rsidRPr="00CC51ED">
        <w:rPr>
          <w:rFonts w:eastAsia="Times New Roman"/>
          <w:lang w:eastAsia="en-GB"/>
        </w:rPr>
        <w:t>random access</w:t>
      </w:r>
      <w:proofErr w:type="gramEnd"/>
      <w:r w:rsidRPr="00CC51ED">
        <w:rPr>
          <w:rFonts w:eastAsia="Times New Roman"/>
          <w:lang w:eastAsia="en-GB"/>
        </w:rPr>
        <w:t xml:space="preserve"> </w:t>
      </w:r>
      <w:r w:rsidRPr="00CC51ED">
        <w:rPr>
          <w:rFonts w:eastAsia="Times New Roman" w:hint="eastAsia"/>
          <w:lang w:eastAsia="en-GB"/>
        </w:rPr>
        <w:t xml:space="preserve">preamble </w:t>
      </w:r>
      <w:r w:rsidRPr="00CC51ED">
        <w:rPr>
          <w:rFonts w:eastAsia="Times New Roman"/>
          <w:lang w:eastAsia="en-GB"/>
        </w:rPr>
        <w:t>on the configured NB-IoT carrier at the next available NPRACH resource</w:t>
      </w:r>
      <w:r>
        <w:rPr>
          <w:rFonts w:eastAsia="Times New Roman"/>
          <w:lang w:eastAsia="en-GB"/>
        </w:rPr>
        <w:t xml:space="preserve">, </w:t>
      </w:r>
      <w:r w:rsidRPr="0079232A">
        <w:rPr>
          <w:rFonts w:eastAsia="Times New Roman"/>
          <w:highlight w:val="yellow"/>
          <w:lang w:eastAsia="en-GB"/>
        </w:rPr>
        <w:t>unless the transmission would overlap with any subframe(s) of NPDSCH reception</w:t>
      </w:r>
      <w:r w:rsidRPr="00CC51ED">
        <w:rPr>
          <w:rFonts w:eastAsia="Times New Roman" w:hint="eastAsia"/>
          <w:lang w:eastAsia="en-GB"/>
        </w:rPr>
        <w:t>.</w:t>
      </w:r>
      <w:r w:rsidRPr="00CC51ED">
        <w:rPr>
          <w:rFonts w:eastAsia="Times New Roman"/>
          <w:lang w:eastAsia="en-GB"/>
        </w:rPr>
        <w:t xml:space="preserve"> The narrowband preamble is transmitted on the allocated subcarrier and </w:t>
      </w:r>
      <w:proofErr w:type="gramStart"/>
      <w:r w:rsidRPr="00CC51ED">
        <w:rPr>
          <w:rFonts w:eastAsia="Times New Roman"/>
          <w:lang w:eastAsia="en-GB"/>
        </w:rPr>
        <w:t>a number of</w:t>
      </w:r>
      <w:proofErr w:type="gramEnd"/>
      <w:r w:rsidRPr="00CC51ED">
        <w:rPr>
          <w:rFonts w:eastAsia="Times New Roman"/>
          <w:lang w:eastAsia="en-GB"/>
        </w:rPr>
        <w:t xml:space="preserve"> NPRACH repetitions for the associated NPRACH repetition level as indicated by higher layers. The narrowband preamble is transmitted with transmission power </w:t>
      </w:r>
      <w:proofErr w:type="gramStart"/>
      <w:r w:rsidRPr="00CC51ED">
        <w:rPr>
          <w:rFonts w:eastAsia="Times New Roman"/>
          <w:lang w:eastAsia="en-GB"/>
        </w:rPr>
        <w:t>P</w:t>
      </w:r>
      <w:r w:rsidRPr="00CC51ED">
        <w:rPr>
          <w:rFonts w:eastAsia="Times New Roman"/>
          <w:vertAlign w:val="subscript"/>
          <w:lang w:eastAsia="en-GB"/>
        </w:rPr>
        <w:t xml:space="preserve">NPRACH </w:t>
      </w:r>
      <w:r w:rsidRPr="00CC51ED">
        <w:rPr>
          <w:rFonts w:eastAsia="Times New Roman"/>
          <w:lang w:eastAsia="en-GB"/>
        </w:rPr>
        <w:t>,</w:t>
      </w:r>
      <w:proofErr w:type="gramEnd"/>
      <w:r w:rsidRPr="00CC51ED">
        <w:rPr>
          <w:rFonts w:eastAsia="Times New Roman"/>
          <w:lang w:eastAsia="en-GB"/>
        </w:rPr>
        <w:t xml:space="preserve"> as determined in subclause 16.3.2, commencing on the indicated NPRACH resource.</w:t>
      </w:r>
    </w:p>
    <w:p w14:paraId="1BA11741" w14:textId="77777777" w:rsidR="00FB7F12" w:rsidRDefault="00FB7F12" w:rsidP="00FB7F12">
      <w:pPr>
        <w:rPr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14:paraId="333D1872" w14:textId="52E08C1F" w:rsidR="00CF1AEE" w:rsidRPr="00DB3530" w:rsidRDefault="00CF1AEE" w:rsidP="00CF1AEE">
      <w:pPr>
        <w:pStyle w:val="BodyText"/>
      </w:pPr>
      <w:r w:rsidRPr="00DB3530">
        <w:t xml:space="preserve">The conclusion on </w:t>
      </w:r>
      <w:r w:rsidRPr="00DB3530">
        <w:rPr>
          <w:rFonts w:hint="eastAsia"/>
        </w:rPr>
        <w:t xml:space="preserve">collision of physical SR without HARQ-ACK and </w:t>
      </w:r>
      <w:r w:rsidRPr="00DB3530">
        <w:t xml:space="preserve">a </w:t>
      </w:r>
      <w:r w:rsidRPr="00DB3530">
        <w:rPr>
          <w:rFonts w:hint="eastAsia"/>
        </w:rPr>
        <w:t>NPDCCH candidate</w:t>
      </w:r>
      <w:r w:rsidRPr="00DB3530">
        <w:t xml:space="preserve"> was also made.</w:t>
      </w:r>
    </w:p>
    <w:p w14:paraId="74E61804" w14:textId="77777777" w:rsidR="00CF1AEE" w:rsidRPr="00DB3530" w:rsidRDefault="00CF1AEE" w:rsidP="00CF1AEE">
      <w:pPr>
        <w:rPr>
          <w:rFonts w:ascii="Arial" w:hAnsi="Arial"/>
          <w:b/>
          <w:u w:val="single"/>
          <w:lang w:eastAsia="zh-CN"/>
        </w:rPr>
      </w:pPr>
      <w:r w:rsidRPr="00DB3530">
        <w:rPr>
          <w:rFonts w:ascii="Arial" w:hAnsi="Arial"/>
          <w:b/>
          <w:u w:val="single"/>
          <w:lang w:eastAsia="zh-CN"/>
        </w:rPr>
        <w:t>Conclusion:</w:t>
      </w:r>
    </w:p>
    <w:p w14:paraId="3A34424C" w14:textId="189ED810" w:rsidR="00CF1AEE" w:rsidRPr="00DB3530" w:rsidRDefault="00CF1AEE" w:rsidP="00DB3530">
      <w:pPr>
        <w:pStyle w:val="ListParagraph"/>
        <w:numPr>
          <w:ilvl w:val="0"/>
          <w:numId w:val="35"/>
        </w:numPr>
        <w:jc w:val="both"/>
        <w:rPr>
          <w:rFonts w:ascii="Arial" w:eastAsiaTheme="minorEastAsia" w:hAnsi="Arial"/>
          <w:sz w:val="20"/>
          <w:szCs w:val="20"/>
          <w:lang w:val="en-GB" w:eastAsia="zh-CN"/>
        </w:rPr>
      </w:pPr>
      <w:r w:rsidRPr="00DB3530">
        <w:rPr>
          <w:rFonts w:ascii="Arial" w:eastAsiaTheme="minorEastAsia" w:hAnsi="Arial"/>
          <w:sz w:val="20"/>
          <w:szCs w:val="20"/>
          <w:lang w:val="en-GB" w:eastAsia="zh-CN"/>
        </w:rPr>
        <w:t>For an NB-IOT UE, in case an NPDCCH candidate partially or fully overlaps with an uplink SR</w:t>
      </w:r>
      <w:r>
        <w:rPr>
          <w:rFonts w:ascii="Arial" w:eastAsiaTheme="minorEastAsia" w:hAnsi="Arial"/>
          <w:sz w:val="20"/>
          <w:szCs w:val="20"/>
          <w:lang w:val="en-GB" w:eastAsia="zh-CN"/>
        </w:rPr>
        <w:t xml:space="preserve"> </w:t>
      </w:r>
      <w:r w:rsidRPr="00DB3530">
        <w:rPr>
          <w:rFonts w:ascii="Arial" w:eastAsiaTheme="minorEastAsia" w:hAnsi="Arial"/>
          <w:sz w:val="20"/>
          <w:szCs w:val="20"/>
          <w:lang w:val="en-GB" w:eastAsia="zh-CN"/>
        </w:rPr>
        <w:t>transmission, the prioritization between the two is up to UE implementation.</w:t>
      </w:r>
    </w:p>
    <w:p w14:paraId="0338CDFA" w14:textId="77777777" w:rsidR="00CF1AEE" w:rsidRPr="00DB3530" w:rsidRDefault="00CF1AEE" w:rsidP="00CF1AEE">
      <w:pPr>
        <w:pStyle w:val="BodyText"/>
      </w:pPr>
    </w:p>
    <w:p w14:paraId="41BB9B2F" w14:textId="58B0B39A" w:rsidR="00CF1AEE" w:rsidRDefault="00CF1AEE" w:rsidP="00CF1AEE">
      <w:pPr>
        <w:pStyle w:val="BodyText"/>
      </w:pPr>
      <w:r>
        <w:t xml:space="preserve">According to the agreement, for a NB-IoT UE in half-duplex FDD operation, in case of </w:t>
      </w:r>
      <w:r w:rsidR="0079232A">
        <w:t>fully or partially colliding</w:t>
      </w:r>
      <w:r>
        <w:t xml:space="preserve"> between a physical SR without HARQ-ACK transmission and a NPDSCH reception with repetitions, the physical SR without HARQ-ACK transmission is dropped.</w:t>
      </w:r>
    </w:p>
    <w:p w14:paraId="781A71AA" w14:textId="77777777" w:rsidR="00CF1AEE" w:rsidRDefault="00CF1AEE" w:rsidP="00CF1AEE">
      <w:pPr>
        <w:pStyle w:val="BodyText"/>
      </w:pPr>
    </w:p>
    <w:p w14:paraId="64E1BCE9" w14:textId="146BBAC2" w:rsidR="008D0940" w:rsidRDefault="00BC7ACE" w:rsidP="0004775C">
      <w:pPr>
        <w:pStyle w:val="BodyText"/>
      </w:pPr>
      <w:r>
        <w:rPr>
          <w:rFonts w:hint="eastAsia"/>
        </w:rPr>
        <w:t xml:space="preserve">However, </w:t>
      </w:r>
      <w:r w:rsidR="00CF1AEE">
        <w:t xml:space="preserve">as pointed </w:t>
      </w:r>
      <w:r w:rsidR="00B32F74">
        <w:t xml:space="preserve">out </w:t>
      </w:r>
      <w:r w:rsidR="00CF1AEE">
        <w:t xml:space="preserve">in [2], </w:t>
      </w:r>
      <w:r>
        <w:t>there is a timeline issue</w:t>
      </w:r>
      <w:r w:rsidR="008D0940">
        <w:t xml:space="preserve"> to be considered</w:t>
      </w:r>
      <w:r>
        <w:t xml:space="preserve"> </w:t>
      </w:r>
      <w:r w:rsidR="00CF1AEE">
        <w:t xml:space="preserve">when implementing the above agreement. </w:t>
      </w:r>
      <w:r w:rsidR="008D0940">
        <w:t>When</w:t>
      </w:r>
      <w:r w:rsidR="00CF1AEE">
        <w:t xml:space="preserve"> </w:t>
      </w:r>
      <w:r>
        <w:t>the NPDSCH grant is received very close to the start of the physical SR without HARQ-ACK</w:t>
      </w:r>
      <w:r w:rsidR="008D0940">
        <w:t xml:space="preserve">, e.g., </w:t>
      </w:r>
      <w:r w:rsidR="005D2A16">
        <w:t>2</w:t>
      </w:r>
      <w:r w:rsidR="008D0940">
        <w:t xml:space="preserve"> subframes before the start of the physical SR without HARQ-ACK</w:t>
      </w:r>
      <w:r w:rsidR="005D2A16">
        <w:t xml:space="preserve"> as shown in Figure 1</w:t>
      </w:r>
      <w:r w:rsidR="008D0940">
        <w:t>, UE is ambiguous whether to transmit the physical SR without HARQ-ACK or continue to decode NPDCCH.</w:t>
      </w:r>
    </w:p>
    <w:p w14:paraId="5F407C70" w14:textId="77777777" w:rsidR="005C3B68" w:rsidRDefault="005C3B68" w:rsidP="0004775C">
      <w:pPr>
        <w:pStyle w:val="BodyText"/>
      </w:pPr>
    </w:p>
    <w:p w14:paraId="47FB163A" w14:textId="2B3D5AA1" w:rsidR="005C3B68" w:rsidRPr="00DB3530" w:rsidRDefault="008D0940" w:rsidP="0004775C">
      <w:pPr>
        <w:pStyle w:val="BodyText"/>
      </w:pPr>
      <w:r>
        <w:t xml:space="preserve">Generally, the low-cost </w:t>
      </w:r>
      <w:r>
        <w:rPr>
          <w:rFonts w:hint="eastAsia"/>
        </w:rPr>
        <w:t xml:space="preserve">NB-IoT UE </w:t>
      </w:r>
      <w:r>
        <w:t xml:space="preserve">cannot support simultaneous TX and RX. If UE prioritizes </w:t>
      </w:r>
      <w:r w:rsidR="005D2A16">
        <w:t xml:space="preserve">the transmission of physical SR without HARQ-ACK, then UE will not decode NPDCCH and thus may miss the NPDSCH </w:t>
      </w:r>
      <w:r w:rsidR="005D2A16">
        <w:lastRenderedPageBreak/>
        <w:t xml:space="preserve">transmission </w:t>
      </w:r>
      <w:r w:rsidR="0079232A">
        <w:t>in</w:t>
      </w:r>
      <w:r w:rsidR="005D2A16">
        <w:t xml:space="preserve"> subframe n+3. On the other hand, if UE continues to decode NPDCCH then UE cannot transmit physical SR without HARQ-ACK </w:t>
      </w:r>
      <w:r w:rsidR="0079232A">
        <w:t>in</w:t>
      </w:r>
      <w:r w:rsidR="005D2A16">
        <w:t xml:space="preserve"> subframe n. I</w:t>
      </w:r>
      <w:r w:rsidR="0079232A">
        <w:t>f</w:t>
      </w:r>
      <w:r w:rsidR="005D2A16">
        <w:t xml:space="preserve"> </w:t>
      </w:r>
      <w:r w:rsidR="0079232A">
        <w:t xml:space="preserve">the </w:t>
      </w:r>
      <w:r w:rsidR="005D2A16">
        <w:t xml:space="preserve">NPDCCH </w:t>
      </w:r>
      <w:r w:rsidR="0079232A">
        <w:t xml:space="preserve">candidate </w:t>
      </w:r>
      <w:r w:rsidR="005D2A16">
        <w:t>does not schedule a NPDSCH for the UE, the</w:t>
      </w:r>
      <w:r w:rsidR="0079232A">
        <w:t>n</w:t>
      </w:r>
      <w:r w:rsidR="005D2A16">
        <w:t xml:space="preserve"> UE will miss a transmission opportunity for physical SR. The worst case is that UE will lose all the transmission opportunities for physical SR. Although it </w:t>
      </w:r>
      <w:r w:rsidR="0079232A">
        <w:t xml:space="preserve">may be </w:t>
      </w:r>
      <w:r w:rsidR="005D2A16">
        <w:t>okay</w:t>
      </w:r>
      <w:r w:rsidR="00B32F74">
        <w:t xml:space="preserve"> since UE can still initiate </w:t>
      </w:r>
      <w:r w:rsidR="00B32F74" w:rsidRPr="00910760">
        <w:rPr>
          <w:noProof/>
        </w:rPr>
        <w:t>a Random Access Procedure</w:t>
      </w:r>
      <w:r w:rsidR="005D2A16">
        <w:t xml:space="preserve"> </w:t>
      </w:r>
      <w:r w:rsidR="00B32F74">
        <w:t xml:space="preserve">for </w:t>
      </w:r>
      <w:r w:rsidR="00B32F74" w:rsidRPr="00910760">
        <w:rPr>
          <w:noProof/>
        </w:rPr>
        <w:t>requesting UL-SCH resources for transmission</w:t>
      </w:r>
      <w:r w:rsidR="005C3B68">
        <w:rPr>
          <w:noProof/>
        </w:rPr>
        <w:t xml:space="preserve">, it will unnecessarily increase UE power consumption and introduce </w:t>
      </w:r>
      <w:r w:rsidR="0079232A">
        <w:rPr>
          <w:noProof/>
        </w:rPr>
        <w:t>a large</w:t>
      </w:r>
      <w:r w:rsidR="005C3B68">
        <w:rPr>
          <w:noProof/>
        </w:rPr>
        <w:t xml:space="preserve"> delay for UL transmission. As a result, the benefits for supporting physical SR for NB-IoT will be significantly reduced. </w:t>
      </w:r>
      <w:r w:rsidR="0079232A">
        <w:rPr>
          <w:noProof/>
        </w:rPr>
        <w:t>I</w:t>
      </w:r>
      <w:r w:rsidR="005C3B68">
        <w:rPr>
          <w:noProof/>
        </w:rPr>
        <w:t xml:space="preserve">t is </w:t>
      </w:r>
      <w:r w:rsidR="0079232A">
        <w:rPr>
          <w:noProof/>
        </w:rPr>
        <w:t xml:space="preserve">thus </w:t>
      </w:r>
      <w:r w:rsidR="005C3B68">
        <w:rPr>
          <w:noProof/>
        </w:rPr>
        <w:t xml:space="preserve">preferrable to </w:t>
      </w:r>
      <w:r w:rsidR="00FE496D">
        <w:rPr>
          <w:noProof/>
        </w:rPr>
        <w:t>clarify UE</w:t>
      </w:r>
      <w:r w:rsidR="00B4230E">
        <w:rPr>
          <w:noProof/>
        </w:rPr>
        <w:t xml:space="preserve"> behaviour in such case</w:t>
      </w:r>
      <w:r w:rsidR="005C3B68">
        <w:rPr>
          <w:noProof/>
        </w:rPr>
        <w:t>.</w:t>
      </w:r>
      <w:r w:rsidR="005D2A16">
        <w:t xml:space="preserve"> </w:t>
      </w:r>
    </w:p>
    <w:p w14:paraId="59E173D9" w14:textId="649217E9" w:rsidR="005D2A16" w:rsidRDefault="00B32F74" w:rsidP="00DB3530">
      <w:pPr>
        <w:pStyle w:val="BodyText"/>
        <w:ind w:left="420"/>
      </w:pPr>
      <w:r>
        <w:object w:dxaOrig="8723" w:dyaOrig="1200" w14:anchorId="5E24F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05pt;height:59.9pt" o:ole="">
            <v:imagedata r:id="rId8" o:title=""/>
          </v:shape>
          <o:OLEObject Type="Embed" ProgID="Visio.Drawing.11" ShapeID="_x0000_i1025" DrawAspect="Content" ObjectID="_1602710538" r:id="rId9"/>
        </w:object>
      </w:r>
    </w:p>
    <w:p w14:paraId="49032CB1" w14:textId="227DF3A4" w:rsidR="00993147" w:rsidRPr="00993147" w:rsidRDefault="00993147" w:rsidP="00DB3530">
      <w:pPr>
        <w:pStyle w:val="BodyText"/>
        <w:ind w:firstLine="567"/>
        <w:jc w:val="left"/>
        <w:rPr>
          <w:b/>
        </w:rPr>
      </w:pPr>
      <w:r w:rsidRPr="00993147">
        <w:rPr>
          <w:b/>
        </w:rPr>
        <w:t xml:space="preserve">Figure </w:t>
      </w:r>
      <w:r w:rsidRPr="00993147">
        <w:rPr>
          <w:b/>
        </w:rPr>
        <w:fldChar w:fldCharType="begin"/>
      </w:r>
      <w:r w:rsidRPr="00993147">
        <w:rPr>
          <w:b/>
        </w:rPr>
        <w:instrText xml:space="preserve"> SEQ Figure \* ARABIC </w:instrText>
      </w:r>
      <w:r w:rsidRPr="00993147">
        <w:rPr>
          <w:b/>
        </w:rPr>
        <w:fldChar w:fldCharType="separate"/>
      </w:r>
      <w:r w:rsidRPr="00993147">
        <w:rPr>
          <w:b/>
          <w:noProof/>
        </w:rPr>
        <w:t>1</w:t>
      </w:r>
      <w:r w:rsidRPr="00993147">
        <w:rPr>
          <w:b/>
        </w:rPr>
        <w:fldChar w:fldCharType="end"/>
      </w:r>
      <w:r>
        <w:rPr>
          <w:b/>
        </w:rPr>
        <w:t xml:space="preserve">: </w:t>
      </w:r>
      <w:r w:rsidRPr="00993147">
        <w:rPr>
          <w:b/>
        </w:rPr>
        <w:t>Example of non-causal processing imposed by current specification</w:t>
      </w:r>
    </w:p>
    <w:p w14:paraId="1427D7CD" w14:textId="003BE3C6" w:rsidR="00BC7ACE" w:rsidRDefault="00BC7ACE" w:rsidP="0004775C">
      <w:pPr>
        <w:pStyle w:val="BodyText"/>
      </w:pPr>
    </w:p>
    <w:p w14:paraId="0753B8A8" w14:textId="596442E3" w:rsidR="00FE496D" w:rsidRDefault="00FE496D" w:rsidP="00FE496D">
      <w:pPr>
        <w:pStyle w:val="BodyText"/>
      </w:pPr>
      <w:r>
        <w:t>According to discussi</w:t>
      </w:r>
      <w:r w:rsidR="006A34A9">
        <w:t xml:space="preserve">on in RAN1#94bis, one option is </w:t>
      </w:r>
      <w:r>
        <w:t xml:space="preserve">to </w:t>
      </w:r>
      <w:r w:rsidR="0079232A">
        <w:t>be based on</w:t>
      </w:r>
      <w:r>
        <w:t xml:space="preserve"> </w:t>
      </w:r>
      <w:r w:rsidR="006A34A9">
        <w:t>RAN1#94</w:t>
      </w:r>
      <w:r>
        <w:t xml:space="preserve"> conclusion on collision of physical SR and NPDCCH candidate</w:t>
      </w:r>
      <w:r w:rsidR="0079232A">
        <w:t xml:space="preserve"> for solving this issue</w:t>
      </w:r>
      <w:r>
        <w:t xml:space="preserve">. However, the conclusion does not consider NPDCCH decoding time. At least for </w:t>
      </w:r>
      <w:r w:rsidR="0079232A">
        <w:t xml:space="preserve">the </w:t>
      </w:r>
      <w:r>
        <w:t xml:space="preserve">example in Figure 1, physical SR without HARQ-ACK </w:t>
      </w:r>
      <w:r w:rsidR="006A34A9">
        <w:t xml:space="preserve">is </w:t>
      </w:r>
      <w:r>
        <w:t xml:space="preserve">not </w:t>
      </w:r>
      <w:r w:rsidR="0079232A">
        <w:t xml:space="preserve">considered </w:t>
      </w:r>
      <w:r w:rsidR="005D20C0">
        <w:t>for</w:t>
      </w:r>
      <w:r w:rsidR="0079232A">
        <w:t xml:space="preserve"> </w:t>
      </w:r>
      <w:r>
        <w:t>collid</w:t>
      </w:r>
      <w:r w:rsidR="005D20C0">
        <w:t>ing</w:t>
      </w:r>
      <w:r>
        <w:t xml:space="preserve"> </w:t>
      </w:r>
      <w:r w:rsidR="0079232A">
        <w:t xml:space="preserve">with </w:t>
      </w:r>
      <w:r>
        <w:t>the NPDCCH candidate since the two transmissions</w:t>
      </w:r>
      <w:r w:rsidR="006A34A9">
        <w:t xml:space="preserve"> are not overlapped</w:t>
      </w:r>
      <w:r>
        <w:t>.</w:t>
      </w:r>
      <w:r w:rsidR="006A34A9">
        <w:t xml:space="preserve"> </w:t>
      </w:r>
      <w:r w:rsidR="0079232A">
        <w:t>A simple way is t</w:t>
      </w:r>
      <w:r>
        <w:t xml:space="preserve">o extend the definition of NPDCCH candidate by including </w:t>
      </w:r>
      <w:r w:rsidR="006A34A9">
        <w:t xml:space="preserve">NPDCCH </w:t>
      </w:r>
      <w:r>
        <w:t>decoding time</w:t>
      </w:r>
      <w:r w:rsidR="006A34A9">
        <w:t>, which is the 4 subframes for the worst case.</w:t>
      </w:r>
      <w:r>
        <w:t xml:space="preserve"> </w:t>
      </w:r>
      <w:r w:rsidR="006A34A9">
        <w:t xml:space="preserve">Therefore, we </w:t>
      </w:r>
      <w:r w:rsidR="00DB3530">
        <w:t>have the following proposal</w:t>
      </w:r>
      <w:r w:rsidR="006A34A9">
        <w:t>.</w:t>
      </w:r>
    </w:p>
    <w:p w14:paraId="067207D9" w14:textId="77777777" w:rsidR="006A34A9" w:rsidRDefault="006A34A9" w:rsidP="00FE496D">
      <w:pPr>
        <w:pStyle w:val="BodyText"/>
      </w:pPr>
    </w:p>
    <w:p w14:paraId="149DDDD4" w14:textId="3AD20A72" w:rsidR="00FE496D" w:rsidRDefault="006A34A9" w:rsidP="00DB3530">
      <w:pPr>
        <w:pStyle w:val="BodyText"/>
      </w:pPr>
      <w:r w:rsidRPr="00DB3530">
        <w:rPr>
          <w:b/>
        </w:rPr>
        <w:t>Proposal 1</w:t>
      </w:r>
      <w:r>
        <w:t>:</w:t>
      </w:r>
      <w:r w:rsidRPr="00DB3530">
        <w:rPr>
          <w:b/>
        </w:rPr>
        <w:t xml:space="preserve"> For an NB-IoT UE, when the physical SR without HARQ-ACK is to be transmitted in subframe n, and an NP</w:t>
      </w:r>
      <w:r w:rsidR="00DB3530">
        <w:rPr>
          <w:b/>
        </w:rPr>
        <w:t>D</w:t>
      </w:r>
      <w:r w:rsidRPr="00DB3530">
        <w:rPr>
          <w:b/>
        </w:rPr>
        <w:t>CCH candidate ends no earlier than subframe n-4, the prioritization between the two is up to UE implementation</w:t>
      </w:r>
    </w:p>
    <w:p w14:paraId="323E293D" w14:textId="2A8D16F9" w:rsidR="006A34A9" w:rsidRDefault="006A34A9" w:rsidP="0004775C">
      <w:pPr>
        <w:pStyle w:val="BodyText"/>
      </w:pPr>
    </w:p>
    <w:p w14:paraId="01B7175E" w14:textId="571B9C77" w:rsidR="006A34A9" w:rsidRDefault="006A34A9" w:rsidP="0004775C">
      <w:pPr>
        <w:pStyle w:val="BodyText"/>
      </w:pPr>
      <w:r>
        <w:t xml:space="preserve">Note the above can also be applied </w:t>
      </w:r>
      <w:r w:rsidR="00DB3530">
        <w:t>to</w:t>
      </w:r>
      <w:r>
        <w:t xml:space="preserve"> UL SPS</w:t>
      </w:r>
      <w:r w:rsidR="00DB3530">
        <w:t xml:space="preserve"> transmission for BSR</w:t>
      </w:r>
      <w:r>
        <w:t>. Therefore,</w:t>
      </w:r>
      <w:r w:rsidR="00DB3530">
        <w:t xml:space="preserve"> we propose</w:t>
      </w:r>
    </w:p>
    <w:p w14:paraId="26CC4785" w14:textId="77777777" w:rsidR="00DB3530" w:rsidRDefault="00DB3530" w:rsidP="0004775C">
      <w:pPr>
        <w:pStyle w:val="BodyText"/>
      </w:pPr>
    </w:p>
    <w:p w14:paraId="66A68130" w14:textId="48D3D4E2" w:rsidR="006A34A9" w:rsidRPr="00DB3530" w:rsidRDefault="006A34A9" w:rsidP="00DB3530">
      <w:pPr>
        <w:pStyle w:val="BodyText"/>
        <w:rPr>
          <w:b/>
        </w:rPr>
      </w:pPr>
      <w:r w:rsidRPr="00DB3530">
        <w:rPr>
          <w:b/>
        </w:rPr>
        <w:t xml:space="preserve">Proposal 2: For an NB-IoT UE, when UL SPS </w:t>
      </w:r>
      <w:r w:rsidR="00DB3530" w:rsidRPr="00DB3530">
        <w:rPr>
          <w:b/>
        </w:rPr>
        <w:t xml:space="preserve">for BSR </w:t>
      </w:r>
      <w:r w:rsidRPr="00DB3530">
        <w:rPr>
          <w:b/>
        </w:rPr>
        <w:t>is to be transmitted in subframe n, and an NP</w:t>
      </w:r>
      <w:r w:rsidR="00DB3530" w:rsidRPr="00DB3530">
        <w:rPr>
          <w:b/>
        </w:rPr>
        <w:t>D</w:t>
      </w:r>
      <w:r w:rsidRPr="00DB3530">
        <w:rPr>
          <w:b/>
        </w:rPr>
        <w:t>CCH candidate ends no earlier than subframe n-4, the prioritization between the two is up to UE implementation</w:t>
      </w:r>
    </w:p>
    <w:p w14:paraId="0B53CD7E" w14:textId="1577B1B6" w:rsidR="00DB3530" w:rsidRDefault="00DB3530" w:rsidP="00DB3530">
      <w:pPr>
        <w:pStyle w:val="Heading1"/>
      </w:pPr>
      <w:r>
        <w:t>3</w:t>
      </w:r>
      <w:r>
        <w:tab/>
        <w:t>Summary</w:t>
      </w:r>
    </w:p>
    <w:p w14:paraId="5BFF67DB" w14:textId="7666EB08" w:rsidR="006A34A9" w:rsidRDefault="00DB3530" w:rsidP="00DB3530">
      <w:pPr>
        <w:pStyle w:val="BodyText"/>
      </w:pPr>
      <w:r>
        <w:t xml:space="preserve">In this contribution, we discuss the remaining issues for collision of physical SR without HARQ-ACK and NPDSCH/NPDCH, and the collision of UL SPS for BSR and NPDSCH/NPDCCH. We </w:t>
      </w:r>
      <w:r w:rsidR="0079232A">
        <w:t>prefer to capture the</w:t>
      </w:r>
      <w:r>
        <w:t xml:space="preserve"> following </w:t>
      </w:r>
      <w:r w:rsidR="0079232A">
        <w:t>to Chairman’s note</w:t>
      </w:r>
      <w:r>
        <w:t>.</w:t>
      </w:r>
    </w:p>
    <w:p w14:paraId="655399AD" w14:textId="77777777" w:rsidR="005D20C0" w:rsidRDefault="005D20C0" w:rsidP="00DB3530">
      <w:pPr>
        <w:pStyle w:val="BodyText"/>
      </w:pPr>
    </w:p>
    <w:p w14:paraId="7A30E910" w14:textId="533B60C8" w:rsidR="00DB3530" w:rsidRDefault="00DB3530" w:rsidP="00DB3530">
      <w:pPr>
        <w:pStyle w:val="BodyText"/>
        <w:rPr>
          <w:b/>
        </w:rPr>
      </w:pPr>
      <w:r w:rsidRPr="004C0F85">
        <w:rPr>
          <w:b/>
        </w:rPr>
        <w:t>Proposal 1</w:t>
      </w:r>
      <w:r>
        <w:t>:</w:t>
      </w:r>
      <w:r w:rsidRPr="004C0F85">
        <w:rPr>
          <w:b/>
        </w:rPr>
        <w:t xml:space="preserve"> For an NB-IoT UE, when the physical SR without HARQ-ACK is to be transmitted in subframe n, and an NP</w:t>
      </w:r>
      <w:r>
        <w:rPr>
          <w:b/>
        </w:rPr>
        <w:t>D</w:t>
      </w:r>
      <w:r w:rsidRPr="004C0F85">
        <w:rPr>
          <w:b/>
        </w:rPr>
        <w:t>CCH candidate ends no earlier than subframe n-4, the prioritization between the two is up to UE implementation</w:t>
      </w:r>
    </w:p>
    <w:p w14:paraId="27FCB7D1" w14:textId="77777777" w:rsidR="005D20C0" w:rsidRDefault="005D20C0" w:rsidP="00DB3530">
      <w:pPr>
        <w:pStyle w:val="BodyText"/>
      </w:pPr>
      <w:bookmarkStart w:id="0" w:name="_GoBack"/>
      <w:bookmarkEnd w:id="0"/>
    </w:p>
    <w:p w14:paraId="079D1335" w14:textId="58CCF24C" w:rsidR="00DB3530" w:rsidRPr="004C0F85" w:rsidRDefault="00DB3530" w:rsidP="00DB3530">
      <w:pPr>
        <w:pStyle w:val="BodyText"/>
        <w:rPr>
          <w:b/>
        </w:rPr>
      </w:pPr>
      <w:r w:rsidRPr="00DB3530">
        <w:rPr>
          <w:b/>
        </w:rPr>
        <w:t>Proposal 2</w:t>
      </w:r>
      <w:r w:rsidRPr="004C0F85">
        <w:rPr>
          <w:b/>
        </w:rPr>
        <w:t>: For an NB-IoT UE, when UL SPS for BSR is to be transmitted in subframe n, and an NPDCCH candidate ends no earlier than subframe n-4, the prioritization between the two is up to UE implementation</w:t>
      </w:r>
    </w:p>
    <w:p w14:paraId="050AB7E9" w14:textId="5DEA912A" w:rsidR="00DB3530" w:rsidRDefault="00DB3530" w:rsidP="00DB3530">
      <w:pPr>
        <w:pStyle w:val="BodyText"/>
      </w:pPr>
    </w:p>
    <w:p w14:paraId="13599CCC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3A741B7D" w14:textId="3E4FC4D5" w:rsidR="00606572" w:rsidRDefault="00CF1AEE" w:rsidP="00606572">
      <w:pPr>
        <w:pStyle w:val="Reference"/>
      </w:pPr>
      <w:r>
        <w:t>Chairman’s Notes, RAN1#94</w:t>
      </w:r>
    </w:p>
    <w:p w14:paraId="1CE382F7" w14:textId="4D0F6F81" w:rsidR="00FE59E4" w:rsidRPr="0009339B" w:rsidRDefault="00FE59E4" w:rsidP="00606572">
      <w:pPr>
        <w:pStyle w:val="Reference"/>
      </w:pPr>
      <w:r>
        <w:rPr>
          <w:rFonts w:hint="eastAsia"/>
        </w:rPr>
        <w:t>R1-</w:t>
      </w:r>
      <w:r w:rsidR="008D0940">
        <w:rPr>
          <w:rFonts w:hint="eastAsia"/>
        </w:rPr>
        <w:t>1</w:t>
      </w:r>
      <w:r w:rsidR="008D0940">
        <w:t>810910</w:t>
      </w:r>
      <w:r>
        <w:t>, “</w:t>
      </w:r>
      <w:r w:rsidR="008D0940">
        <w:t>Maintenance for physical SR</w:t>
      </w:r>
      <w:r>
        <w:t>”, Qualcomm</w:t>
      </w:r>
      <w:r w:rsidR="008D0940">
        <w:t xml:space="preserve"> Incorporated</w:t>
      </w:r>
      <w:r>
        <w:t xml:space="preserve">, </w:t>
      </w:r>
      <w:r w:rsidR="00D849B7">
        <w:t>October</w:t>
      </w:r>
      <w:r>
        <w:t xml:space="preserve"> 201</w:t>
      </w:r>
      <w:r w:rsidR="008D0940">
        <w:t>8</w:t>
      </w:r>
    </w:p>
    <w:sectPr w:rsidR="00FE59E4" w:rsidRPr="0009339B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B7A2E" w14:textId="77777777" w:rsidR="00107743" w:rsidRDefault="00107743">
      <w:r>
        <w:separator/>
      </w:r>
    </w:p>
  </w:endnote>
  <w:endnote w:type="continuationSeparator" w:id="0">
    <w:p w14:paraId="1732B45B" w14:textId="77777777" w:rsidR="00107743" w:rsidRDefault="0010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E23345" w:rsidRDefault="00E2334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8F85E" w14:textId="77777777" w:rsidR="00107743" w:rsidRDefault="00107743">
      <w:r>
        <w:separator/>
      </w:r>
    </w:p>
  </w:footnote>
  <w:footnote w:type="continuationSeparator" w:id="0">
    <w:p w14:paraId="022A7A51" w14:textId="77777777" w:rsidR="00107743" w:rsidRDefault="00107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E23345" w:rsidRDefault="00E2334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CFE23C0"/>
    <w:multiLevelType w:val="hybridMultilevel"/>
    <w:tmpl w:val="72DA90E2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513A4"/>
    <w:multiLevelType w:val="hybridMultilevel"/>
    <w:tmpl w:val="4214468A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9297E"/>
    <w:multiLevelType w:val="hybridMultilevel"/>
    <w:tmpl w:val="F7DEC4E6"/>
    <w:lvl w:ilvl="0" w:tplc="CA74570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B533F"/>
    <w:multiLevelType w:val="hybridMultilevel"/>
    <w:tmpl w:val="9DB22370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E9223D0"/>
    <w:multiLevelType w:val="hybridMultilevel"/>
    <w:tmpl w:val="3858048A"/>
    <w:lvl w:ilvl="0" w:tplc="CA74570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E067A0E"/>
    <w:multiLevelType w:val="hybridMultilevel"/>
    <w:tmpl w:val="A93E1A4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7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9"/>
  </w:num>
  <w:num w:numId="17">
    <w:abstractNumId w:val="10"/>
  </w:num>
  <w:num w:numId="18">
    <w:abstractNumId w:val="13"/>
  </w:num>
  <w:num w:numId="19">
    <w:abstractNumId w:val="7"/>
  </w:num>
  <w:num w:numId="20">
    <w:abstractNumId w:val="32"/>
  </w:num>
  <w:num w:numId="21">
    <w:abstractNumId w:val="17"/>
  </w:num>
  <w:num w:numId="22">
    <w:abstractNumId w:val="30"/>
  </w:num>
  <w:num w:numId="23">
    <w:abstractNumId w:val="11"/>
  </w:num>
  <w:num w:numId="24">
    <w:abstractNumId w:val="21"/>
  </w:num>
  <w:num w:numId="25">
    <w:abstractNumId w:val="34"/>
  </w:num>
  <w:num w:numId="26">
    <w:abstractNumId w:val="3"/>
  </w:num>
  <w:num w:numId="27">
    <w:abstractNumId w:val="8"/>
  </w:num>
  <w:num w:numId="28">
    <w:abstractNumId w:val="28"/>
  </w:num>
  <w:num w:numId="29">
    <w:abstractNumId w:val="5"/>
  </w:num>
  <w:num w:numId="30">
    <w:abstractNumId w:val="6"/>
  </w:num>
  <w:num w:numId="31">
    <w:abstractNumId w:val="26"/>
  </w:num>
  <w:num w:numId="32">
    <w:abstractNumId w:val="9"/>
  </w:num>
  <w:num w:numId="33">
    <w:abstractNumId w:val="31"/>
  </w:num>
  <w:num w:numId="34">
    <w:abstractNumId w:val="12"/>
  </w:num>
  <w:num w:numId="35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39F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75C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39B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0774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34C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A759F"/>
    <w:rsid w:val="001B0D97"/>
    <w:rsid w:val="001B5A5D"/>
    <w:rsid w:val="001B6321"/>
    <w:rsid w:val="001C0423"/>
    <w:rsid w:val="001C1CE5"/>
    <w:rsid w:val="001C3D2A"/>
    <w:rsid w:val="001D51BA"/>
    <w:rsid w:val="001D5298"/>
    <w:rsid w:val="001D53E7"/>
    <w:rsid w:val="001D6342"/>
    <w:rsid w:val="001D6D53"/>
    <w:rsid w:val="001E418C"/>
    <w:rsid w:val="001E58E2"/>
    <w:rsid w:val="001E7AED"/>
    <w:rsid w:val="001F3916"/>
    <w:rsid w:val="001F54C5"/>
    <w:rsid w:val="001F662C"/>
    <w:rsid w:val="001F7074"/>
    <w:rsid w:val="001F7BBB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203"/>
    <w:rsid w:val="00235632"/>
    <w:rsid w:val="00235872"/>
    <w:rsid w:val="00236452"/>
    <w:rsid w:val="00241559"/>
    <w:rsid w:val="002435B3"/>
    <w:rsid w:val="002458EB"/>
    <w:rsid w:val="002500C8"/>
    <w:rsid w:val="00254EA1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61"/>
    <w:rsid w:val="002C41E6"/>
    <w:rsid w:val="002D071A"/>
    <w:rsid w:val="002D34B2"/>
    <w:rsid w:val="002D48B0"/>
    <w:rsid w:val="002D5B37"/>
    <w:rsid w:val="002D681F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225B"/>
    <w:rsid w:val="0031351F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9EB"/>
    <w:rsid w:val="003742AC"/>
    <w:rsid w:val="003752FC"/>
    <w:rsid w:val="00377CE1"/>
    <w:rsid w:val="003836F2"/>
    <w:rsid w:val="00385785"/>
    <w:rsid w:val="00385BF0"/>
    <w:rsid w:val="003939FF"/>
    <w:rsid w:val="00395F0F"/>
    <w:rsid w:val="0039627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A42"/>
    <w:rsid w:val="003B64BB"/>
    <w:rsid w:val="003B7FE5"/>
    <w:rsid w:val="003C11C8"/>
    <w:rsid w:val="003C2702"/>
    <w:rsid w:val="003C3487"/>
    <w:rsid w:val="003C6BA0"/>
    <w:rsid w:val="003C7806"/>
    <w:rsid w:val="003D0E66"/>
    <w:rsid w:val="003D109F"/>
    <w:rsid w:val="003D2478"/>
    <w:rsid w:val="003D3C45"/>
    <w:rsid w:val="003D5B1F"/>
    <w:rsid w:val="003E15FA"/>
    <w:rsid w:val="003E55E4"/>
    <w:rsid w:val="003E6DA5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D13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2654"/>
    <w:rsid w:val="00473101"/>
    <w:rsid w:val="004734D0"/>
    <w:rsid w:val="0047556B"/>
    <w:rsid w:val="0047557E"/>
    <w:rsid w:val="00477768"/>
    <w:rsid w:val="00480CF3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16DD"/>
    <w:rsid w:val="00546970"/>
    <w:rsid w:val="00554E19"/>
    <w:rsid w:val="0056121F"/>
    <w:rsid w:val="00563A58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669C"/>
    <w:rsid w:val="0059779B"/>
    <w:rsid w:val="005A209A"/>
    <w:rsid w:val="005A662D"/>
    <w:rsid w:val="005B1409"/>
    <w:rsid w:val="005B35D7"/>
    <w:rsid w:val="005B392A"/>
    <w:rsid w:val="005B3AA3"/>
    <w:rsid w:val="005B6F83"/>
    <w:rsid w:val="005C3B68"/>
    <w:rsid w:val="005C74FB"/>
    <w:rsid w:val="005C7B25"/>
    <w:rsid w:val="005D1602"/>
    <w:rsid w:val="005D20C0"/>
    <w:rsid w:val="005D2A16"/>
    <w:rsid w:val="005E1E6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06572"/>
    <w:rsid w:val="00611B83"/>
    <w:rsid w:val="00613257"/>
    <w:rsid w:val="00620A71"/>
    <w:rsid w:val="00620D80"/>
    <w:rsid w:val="006234A6"/>
    <w:rsid w:val="00627BB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6BF"/>
    <w:rsid w:val="00667EE7"/>
    <w:rsid w:val="00670922"/>
    <w:rsid w:val="00670BE1"/>
    <w:rsid w:val="0067173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20F"/>
    <w:rsid w:val="00694A9F"/>
    <w:rsid w:val="00695FC2"/>
    <w:rsid w:val="00696949"/>
    <w:rsid w:val="00697052"/>
    <w:rsid w:val="006972E0"/>
    <w:rsid w:val="006A34A9"/>
    <w:rsid w:val="006A46FB"/>
    <w:rsid w:val="006A5E28"/>
    <w:rsid w:val="006A697B"/>
    <w:rsid w:val="006A7AFF"/>
    <w:rsid w:val="006B1816"/>
    <w:rsid w:val="006B2099"/>
    <w:rsid w:val="006B3864"/>
    <w:rsid w:val="006B50CF"/>
    <w:rsid w:val="006C03B8"/>
    <w:rsid w:val="006C4328"/>
    <w:rsid w:val="006C5EC9"/>
    <w:rsid w:val="006C6059"/>
    <w:rsid w:val="006C7522"/>
    <w:rsid w:val="006D0F2A"/>
    <w:rsid w:val="006D6F08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2AE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1F18"/>
    <w:rsid w:val="0074312C"/>
    <w:rsid w:val="007445A0"/>
    <w:rsid w:val="0074524B"/>
    <w:rsid w:val="007462DF"/>
    <w:rsid w:val="00747D8B"/>
    <w:rsid w:val="00751228"/>
    <w:rsid w:val="00754239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32A"/>
    <w:rsid w:val="007925EA"/>
    <w:rsid w:val="00793CD8"/>
    <w:rsid w:val="00795C92"/>
    <w:rsid w:val="00796231"/>
    <w:rsid w:val="007A1CB3"/>
    <w:rsid w:val="007A306F"/>
    <w:rsid w:val="007A43A6"/>
    <w:rsid w:val="007A58A6"/>
    <w:rsid w:val="007A6943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4769"/>
    <w:rsid w:val="007E505B"/>
    <w:rsid w:val="007E7091"/>
    <w:rsid w:val="007F637A"/>
    <w:rsid w:val="00800B6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622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97A7B"/>
    <w:rsid w:val="008A21FF"/>
    <w:rsid w:val="008A2855"/>
    <w:rsid w:val="008A2CE2"/>
    <w:rsid w:val="008A30AC"/>
    <w:rsid w:val="008A44B8"/>
    <w:rsid w:val="008A51A8"/>
    <w:rsid w:val="008A54C7"/>
    <w:rsid w:val="008A61D9"/>
    <w:rsid w:val="008A730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940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292E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D0D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47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41E"/>
    <w:rsid w:val="009D0251"/>
    <w:rsid w:val="009D3986"/>
    <w:rsid w:val="009D4FF0"/>
    <w:rsid w:val="009D52FB"/>
    <w:rsid w:val="009D703C"/>
    <w:rsid w:val="009D718F"/>
    <w:rsid w:val="009E068F"/>
    <w:rsid w:val="009E14E0"/>
    <w:rsid w:val="009E18AF"/>
    <w:rsid w:val="009E35DB"/>
    <w:rsid w:val="009E45F2"/>
    <w:rsid w:val="009E47A3"/>
    <w:rsid w:val="009F08F3"/>
    <w:rsid w:val="009F344F"/>
    <w:rsid w:val="00A031D8"/>
    <w:rsid w:val="00A048A8"/>
    <w:rsid w:val="00A04F49"/>
    <w:rsid w:val="00A10DF5"/>
    <w:rsid w:val="00A13E54"/>
    <w:rsid w:val="00A158D5"/>
    <w:rsid w:val="00A17F6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43C"/>
    <w:rsid w:val="00A44E8D"/>
    <w:rsid w:val="00A45B74"/>
    <w:rsid w:val="00A52E1D"/>
    <w:rsid w:val="00A552EA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32A0"/>
    <w:rsid w:val="00A9442A"/>
    <w:rsid w:val="00AA016F"/>
    <w:rsid w:val="00AA1ED6"/>
    <w:rsid w:val="00AA51D6"/>
    <w:rsid w:val="00AA5D36"/>
    <w:rsid w:val="00AB00FB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F1C5D"/>
    <w:rsid w:val="00AF42D7"/>
    <w:rsid w:val="00AF75C1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5138"/>
    <w:rsid w:val="00B2763F"/>
    <w:rsid w:val="00B27AAC"/>
    <w:rsid w:val="00B30929"/>
    <w:rsid w:val="00B32F74"/>
    <w:rsid w:val="00B342D0"/>
    <w:rsid w:val="00B372AA"/>
    <w:rsid w:val="00B40081"/>
    <w:rsid w:val="00B40445"/>
    <w:rsid w:val="00B409E0"/>
    <w:rsid w:val="00B41888"/>
    <w:rsid w:val="00B4230E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C7AC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D86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5CAA"/>
    <w:rsid w:val="00C2682C"/>
    <w:rsid w:val="00C279B5"/>
    <w:rsid w:val="00C27C45"/>
    <w:rsid w:val="00C3719D"/>
    <w:rsid w:val="00C37CB2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23DE"/>
    <w:rsid w:val="00C873A7"/>
    <w:rsid w:val="00C9027A"/>
    <w:rsid w:val="00C9068E"/>
    <w:rsid w:val="00C93814"/>
    <w:rsid w:val="00C93C4B"/>
    <w:rsid w:val="00C944AB"/>
    <w:rsid w:val="00C95B40"/>
    <w:rsid w:val="00CA1A04"/>
    <w:rsid w:val="00CA1ED8"/>
    <w:rsid w:val="00CA512D"/>
    <w:rsid w:val="00CB1F63"/>
    <w:rsid w:val="00CB7170"/>
    <w:rsid w:val="00CC0206"/>
    <w:rsid w:val="00CC040E"/>
    <w:rsid w:val="00CC111F"/>
    <w:rsid w:val="00CC2011"/>
    <w:rsid w:val="00CC32A2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1AEE"/>
    <w:rsid w:val="00CF3B1F"/>
    <w:rsid w:val="00CF3BF6"/>
    <w:rsid w:val="00CF625B"/>
    <w:rsid w:val="00CF687E"/>
    <w:rsid w:val="00D0349B"/>
    <w:rsid w:val="00D10249"/>
    <w:rsid w:val="00D10D55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083"/>
    <w:rsid w:val="00D55A24"/>
    <w:rsid w:val="00D55AD5"/>
    <w:rsid w:val="00D56E48"/>
    <w:rsid w:val="00D576CA"/>
    <w:rsid w:val="00D61AF5"/>
    <w:rsid w:val="00D634D6"/>
    <w:rsid w:val="00D652B5"/>
    <w:rsid w:val="00D66155"/>
    <w:rsid w:val="00D708B0"/>
    <w:rsid w:val="00D77B1D"/>
    <w:rsid w:val="00D8021F"/>
    <w:rsid w:val="00D80383"/>
    <w:rsid w:val="00D823C6"/>
    <w:rsid w:val="00D8327F"/>
    <w:rsid w:val="00D849B7"/>
    <w:rsid w:val="00D86CA3"/>
    <w:rsid w:val="00D871CE"/>
    <w:rsid w:val="00D9196D"/>
    <w:rsid w:val="00D92982"/>
    <w:rsid w:val="00D93C82"/>
    <w:rsid w:val="00DA1B87"/>
    <w:rsid w:val="00DA305E"/>
    <w:rsid w:val="00DA3F01"/>
    <w:rsid w:val="00DA5417"/>
    <w:rsid w:val="00DA56E8"/>
    <w:rsid w:val="00DA69F4"/>
    <w:rsid w:val="00DB0A9F"/>
    <w:rsid w:val="00DB3530"/>
    <w:rsid w:val="00DB377D"/>
    <w:rsid w:val="00DC2D36"/>
    <w:rsid w:val="00DC53EF"/>
    <w:rsid w:val="00DC6EC1"/>
    <w:rsid w:val="00DE5608"/>
    <w:rsid w:val="00DE58D0"/>
    <w:rsid w:val="00DE654F"/>
    <w:rsid w:val="00DF0B6E"/>
    <w:rsid w:val="00DF15E0"/>
    <w:rsid w:val="00DF37A0"/>
    <w:rsid w:val="00DF7AAF"/>
    <w:rsid w:val="00E029CE"/>
    <w:rsid w:val="00E110E7"/>
    <w:rsid w:val="00E11B20"/>
    <w:rsid w:val="00E14C6D"/>
    <w:rsid w:val="00E17FA2"/>
    <w:rsid w:val="00E22330"/>
    <w:rsid w:val="00E2334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69BA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6C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785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20ED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056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B7F12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96D"/>
    <w:rsid w:val="00FE4C7B"/>
    <w:rsid w:val="00FE59E4"/>
    <w:rsid w:val="00FE7336"/>
    <w:rsid w:val="00FE787C"/>
    <w:rsid w:val="00FF45A5"/>
    <w:rsid w:val="00FF5A41"/>
    <w:rsid w:val="00FF5C91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480CF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764B5-8717-40D5-97D3-B584B742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312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7</cp:revision>
  <cp:lastPrinted>2008-01-31T07:09:00Z</cp:lastPrinted>
  <dcterms:created xsi:type="dcterms:W3CDTF">2018-09-25T09:33:00Z</dcterms:created>
  <dcterms:modified xsi:type="dcterms:W3CDTF">2018-11-02T16:22:00Z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